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FEA5" w14:textId="77777777" w:rsidR="004B5A45" w:rsidRPr="00714388" w:rsidRDefault="004B5A45" w:rsidP="004B5A45">
      <w:pPr>
        <w:spacing w:after="0"/>
        <w:jc w:val="center"/>
        <w:rPr>
          <w:b/>
          <w:bCs/>
          <w:sz w:val="32"/>
          <w:szCs w:val="32"/>
        </w:rPr>
      </w:pPr>
      <w:r w:rsidRPr="00714388">
        <w:rPr>
          <w:b/>
          <w:bCs/>
          <w:sz w:val="32"/>
          <w:szCs w:val="32"/>
        </w:rPr>
        <w:t xml:space="preserve">Missouri District </w:t>
      </w:r>
      <w:r w:rsidR="00464008" w:rsidRPr="00714388">
        <w:rPr>
          <w:b/>
          <w:bCs/>
          <w:sz w:val="32"/>
          <w:szCs w:val="32"/>
        </w:rPr>
        <w:t xml:space="preserve">&amp; </w:t>
      </w:r>
      <w:r w:rsidRPr="00714388">
        <w:rPr>
          <w:b/>
          <w:bCs/>
          <w:sz w:val="32"/>
          <w:szCs w:val="32"/>
        </w:rPr>
        <w:t>UPC</w:t>
      </w:r>
      <w:r w:rsidR="00F77A10" w:rsidRPr="00714388">
        <w:rPr>
          <w:b/>
          <w:bCs/>
          <w:sz w:val="32"/>
          <w:szCs w:val="32"/>
        </w:rPr>
        <w:t>I</w:t>
      </w:r>
      <w:r w:rsidRPr="00714388">
        <w:rPr>
          <w:b/>
          <w:bCs/>
          <w:sz w:val="32"/>
          <w:szCs w:val="32"/>
        </w:rPr>
        <w:t xml:space="preserve"> </w:t>
      </w:r>
      <w:r w:rsidR="003F4F80" w:rsidRPr="00714388">
        <w:rPr>
          <w:b/>
          <w:bCs/>
          <w:sz w:val="32"/>
          <w:szCs w:val="32"/>
        </w:rPr>
        <w:t>Ministerial Tithes/Dues</w:t>
      </w:r>
    </w:p>
    <w:p w14:paraId="7EE9FF2B" w14:textId="77777777" w:rsidR="00E82017" w:rsidRPr="0031222B" w:rsidRDefault="00E82017" w:rsidP="004B5A45">
      <w:pPr>
        <w:spacing w:after="0"/>
        <w:jc w:val="center"/>
        <w:rPr>
          <w:sz w:val="24"/>
          <w:szCs w:val="24"/>
        </w:rPr>
      </w:pPr>
    </w:p>
    <w:p w14:paraId="78B75A29" w14:textId="1995D13F" w:rsidR="00E82017" w:rsidRPr="0031222B" w:rsidRDefault="0053320C" w:rsidP="0031222B">
      <w:pPr>
        <w:pStyle w:val="ListParagraph"/>
        <w:numPr>
          <w:ilvl w:val="0"/>
          <w:numId w:val="1"/>
        </w:numPr>
        <w:rPr>
          <w:sz w:val="24"/>
          <w:szCs w:val="24"/>
        </w:rPr>
      </w:pPr>
      <w:r>
        <w:rPr>
          <w:sz w:val="24"/>
          <w:szCs w:val="24"/>
        </w:rPr>
        <w:t xml:space="preserve">All UPCI licensed ministers are responsible for both national dues and district tithes/dues. </w:t>
      </w:r>
    </w:p>
    <w:p w14:paraId="2D0AC56A" w14:textId="77777777" w:rsidR="004B5A45" w:rsidRPr="003F4F80" w:rsidRDefault="0053320C" w:rsidP="004B5A45">
      <w:pPr>
        <w:pStyle w:val="ListParagraph"/>
        <w:numPr>
          <w:ilvl w:val="0"/>
          <w:numId w:val="1"/>
        </w:numPr>
        <w:rPr>
          <w:sz w:val="24"/>
          <w:szCs w:val="24"/>
        </w:rPr>
      </w:pPr>
      <w:r>
        <w:rPr>
          <w:sz w:val="24"/>
          <w:szCs w:val="24"/>
        </w:rPr>
        <w:t>National dues are paid to the United Pentecostal Church International</w:t>
      </w:r>
      <w:r w:rsidR="004B5A45" w:rsidRPr="003F4F80">
        <w:rPr>
          <w:sz w:val="24"/>
          <w:szCs w:val="24"/>
        </w:rPr>
        <w:t xml:space="preserve"> are as listed and are invoiced from the UPCI headquarters on a quarterly basis.  </w:t>
      </w:r>
    </w:p>
    <w:p w14:paraId="11444A5A" w14:textId="77777777" w:rsidR="004B5A45" w:rsidRPr="003F4F80" w:rsidRDefault="004B5A45" w:rsidP="004B5A45">
      <w:pPr>
        <w:pStyle w:val="ListParagraph"/>
        <w:numPr>
          <w:ilvl w:val="0"/>
          <w:numId w:val="4"/>
        </w:numPr>
        <w:rPr>
          <w:sz w:val="24"/>
          <w:szCs w:val="24"/>
        </w:rPr>
      </w:pPr>
      <w:r w:rsidRPr="003F4F80">
        <w:rPr>
          <w:sz w:val="24"/>
          <w:szCs w:val="24"/>
        </w:rPr>
        <w:t>Local:</w:t>
      </w:r>
      <w:r w:rsidRPr="003F4F80">
        <w:rPr>
          <w:sz w:val="24"/>
          <w:szCs w:val="24"/>
        </w:rPr>
        <w:tab/>
      </w:r>
      <w:r w:rsidRPr="003F4F80">
        <w:rPr>
          <w:sz w:val="24"/>
          <w:szCs w:val="24"/>
        </w:rPr>
        <w:tab/>
        <w:t>$93.50</w:t>
      </w:r>
      <w:r w:rsidR="00F77A10">
        <w:rPr>
          <w:sz w:val="24"/>
          <w:szCs w:val="24"/>
        </w:rPr>
        <w:t xml:space="preserve"> per quarter</w:t>
      </w:r>
    </w:p>
    <w:p w14:paraId="03E5262E" w14:textId="77777777" w:rsidR="004B5A45" w:rsidRPr="003F4F80" w:rsidRDefault="004B5A45" w:rsidP="004B5A45">
      <w:pPr>
        <w:pStyle w:val="ListParagraph"/>
        <w:numPr>
          <w:ilvl w:val="0"/>
          <w:numId w:val="4"/>
        </w:numPr>
        <w:rPr>
          <w:sz w:val="24"/>
          <w:szCs w:val="24"/>
        </w:rPr>
      </w:pPr>
      <w:r w:rsidRPr="003F4F80">
        <w:rPr>
          <w:sz w:val="24"/>
          <w:szCs w:val="24"/>
        </w:rPr>
        <w:t>General:</w:t>
      </w:r>
      <w:r w:rsidRPr="003F4F80">
        <w:rPr>
          <w:sz w:val="24"/>
          <w:szCs w:val="24"/>
        </w:rPr>
        <w:tab/>
      </w:r>
      <w:r w:rsidRPr="003F4F80">
        <w:rPr>
          <w:sz w:val="24"/>
          <w:szCs w:val="24"/>
        </w:rPr>
        <w:tab/>
        <w:t>$96.50</w:t>
      </w:r>
      <w:r w:rsidR="00F77A10">
        <w:rPr>
          <w:sz w:val="24"/>
          <w:szCs w:val="24"/>
        </w:rPr>
        <w:t xml:space="preserve"> per quarter</w:t>
      </w:r>
    </w:p>
    <w:p w14:paraId="715EBE3A" w14:textId="2024F296" w:rsidR="004B5A45" w:rsidRPr="0031222B" w:rsidRDefault="004B5A45" w:rsidP="0031222B">
      <w:pPr>
        <w:pStyle w:val="ListParagraph"/>
        <w:numPr>
          <w:ilvl w:val="0"/>
          <w:numId w:val="4"/>
        </w:numPr>
        <w:rPr>
          <w:sz w:val="24"/>
          <w:szCs w:val="24"/>
        </w:rPr>
      </w:pPr>
      <w:r w:rsidRPr="003F4F80">
        <w:rPr>
          <w:sz w:val="24"/>
          <w:szCs w:val="24"/>
        </w:rPr>
        <w:t>Ordained:</w:t>
      </w:r>
      <w:r w:rsidRPr="003F4F80">
        <w:rPr>
          <w:sz w:val="24"/>
          <w:szCs w:val="24"/>
        </w:rPr>
        <w:tab/>
      </w:r>
      <w:r w:rsidR="003F4F80">
        <w:rPr>
          <w:sz w:val="24"/>
          <w:szCs w:val="24"/>
        </w:rPr>
        <w:tab/>
      </w:r>
      <w:r w:rsidRPr="003F4F80">
        <w:rPr>
          <w:sz w:val="24"/>
          <w:szCs w:val="24"/>
        </w:rPr>
        <w:t>$99.50</w:t>
      </w:r>
      <w:r w:rsidR="00F77A10">
        <w:rPr>
          <w:sz w:val="24"/>
          <w:szCs w:val="24"/>
        </w:rPr>
        <w:t xml:space="preserve"> per quarter</w:t>
      </w:r>
    </w:p>
    <w:p w14:paraId="5DE87837" w14:textId="71B31629" w:rsidR="00E82017" w:rsidRPr="0031222B" w:rsidRDefault="004B5A45" w:rsidP="0031222B">
      <w:pPr>
        <w:pStyle w:val="ListParagraph"/>
        <w:rPr>
          <w:rFonts w:cstheme="minorHAnsi"/>
          <w:sz w:val="24"/>
          <w:szCs w:val="24"/>
        </w:rPr>
      </w:pPr>
      <w:r w:rsidRPr="00482D76">
        <w:rPr>
          <w:rFonts w:cstheme="minorHAnsi"/>
          <w:sz w:val="24"/>
          <w:szCs w:val="24"/>
        </w:rPr>
        <w:t xml:space="preserve">The UPCI </w:t>
      </w:r>
      <w:r w:rsidR="00482D76" w:rsidRPr="00482D76">
        <w:rPr>
          <w:rFonts w:cstheme="minorHAnsi"/>
          <w:sz w:val="24"/>
          <w:szCs w:val="24"/>
        </w:rPr>
        <w:t>World H</w:t>
      </w:r>
      <w:r w:rsidRPr="00482D76">
        <w:rPr>
          <w:rFonts w:cstheme="minorHAnsi"/>
          <w:sz w:val="24"/>
          <w:szCs w:val="24"/>
        </w:rPr>
        <w:t>eadquarters</w:t>
      </w:r>
      <w:r w:rsidR="0053320C" w:rsidRPr="00482D76">
        <w:rPr>
          <w:rFonts w:cstheme="minorHAnsi"/>
          <w:sz w:val="24"/>
          <w:szCs w:val="24"/>
        </w:rPr>
        <w:t xml:space="preserve"> </w:t>
      </w:r>
      <w:r w:rsidRPr="00482D76">
        <w:rPr>
          <w:rFonts w:cstheme="minorHAnsi"/>
          <w:sz w:val="24"/>
          <w:szCs w:val="24"/>
        </w:rPr>
        <w:t xml:space="preserve">is located at </w:t>
      </w:r>
      <w:r w:rsidR="00482D76" w:rsidRPr="00482D76">
        <w:rPr>
          <w:rFonts w:cstheme="minorHAnsi"/>
          <w:b/>
          <w:sz w:val="24"/>
          <w:szCs w:val="24"/>
          <w:shd w:val="clear" w:color="auto" w:fill="FFFFFF"/>
        </w:rPr>
        <w:t>36 Research Park Court</w:t>
      </w:r>
      <w:r w:rsidR="00482D76" w:rsidRPr="00482D76">
        <w:rPr>
          <w:rStyle w:val="apple-converted-space"/>
          <w:rFonts w:cstheme="minorHAnsi"/>
          <w:b/>
          <w:sz w:val="24"/>
          <w:szCs w:val="24"/>
          <w:shd w:val="clear" w:color="auto" w:fill="FFFFFF"/>
        </w:rPr>
        <w:t> </w:t>
      </w:r>
      <w:r w:rsidR="00482D76" w:rsidRPr="00482D76">
        <w:rPr>
          <w:rStyle w:val="Emphasis"/>
          <w:rFonts w:cstheme="minorHAnsi"/>
          <w:b/>
          <w:bCs/>
          <w:i w:val="0"/>
          <w:iCs w:val="0"/>
          <w:sz w:val="24"/>
          <w:szCs w:val="24"/>
          <w:shd w:val="clear" w:color="auto" w:fill="FFFFFF"/>
        </w:rPr>
        <w:t>Weldon Spring</w:t>
      </w:r>
      <w:r w:rsidR="00482D76" w:rsidRPr="00482D76">
        <w:rPr>
          <w:rFonts w:cstheme="minorHAnsi"/>
          <w:b/>
          <w:sz w:val="24"/>
          <w:szCs w:val="24"/>
          <w:shd w:val="clear" w:color="auto" w:fill="FFFFFF"/>
        </w:rPr>
        <w:t>,</w:t>
      </w:r>
      <w:r w:rsidR="00482D76" w:rsidRPr="00482D76">
        <w:rPr>
          <w:rStyle w:val="apple-converted-space"/>
          <w:rFonts w:cstheme="minorHAnsi"/>
          <w:b/>
          <w:sz w:val="24"/>
          <w:szCs w:val="24"/>
          <w:shd w:val="clear" w:color="auto" w:fill="FFFFFF"/>
        </w:rPr>
        <w:t> </w:t>
      </w:r>
      <w:r w:rsidR="00482D76" w:rsidRPr="00482D76">
        <w:rPr>
          <w:rStyle w:val="Emphasis"/>
          <w:rFonts w:cstheme="minorHAnsi"/>
          <w:b/>
          <w:bCs/>
          <w:i w:val="0"/>
          <w:iCs w:val="0"/>
          <w:sz w:val="24"/>
          <w:szCs w:val="24"/>
          <w:shd w:val="clear" w:color="auto" w:fill="FFFFFF"/>
        </w:rPr>
        <w:t>MO 63304</w:t>
      </w:r>
      <w:r w:rsidR="00482D76" w:rsidRPr="00482D76">
        <w:rPr>
          <w:rStyle w:val="Emphasis"/>
          <w:rFonts w:cstheme="minorHAnsi"/>
          <w:bCs/>
          <w:i w:val="0"/>
          <w:iCs w:val="0"/>
          <w:sz w:val="24"/>
          <w:szCs w:val="24"/>
          <w:shd w:val="clear" w:color="auto" w:fill="FFFFFF"/>
        </w:rPr>
        <w:t>.</w:t>
      </w:r>
      <w:r w:rsidR="00482D76" w:rsidRPr="00482D76">
        <w:rPr>
          <w:rStyle w:val="apple-converted-space"/>
          <w:rFonts w:cstheme="minorHAnsi"/>
          <w:sz w:val="24"/>
          <w:szCs w:val="24"/>
          <w:shd w:val="clear" w:color="auto" w:fill="FFFFFF"/>
        </w:rPr>
        <w:t> </w:t>
      </w:r>
      <w:r w:rsidRPr="00482D76">
        <w:rPr>
          <w:rFonts w:cstheme="minorHAnsi"/>
          <w:sz w:val="24"/>
          <w:szCs w:val="24"/>
        </w:rPr>
        <w:t xml:space="preserve">  You may pay by mail</w:t>
      </w:r>
      <w:r w:rsidR="00464008" w:rsidRPr="00482D76">
        <w:rPr>
          <w:rFonts w:cstheme="minorHAnsi"/>
          <w:sz w:val="24"/>
          <w:szCs w:val="24"/>
        </w:rPr>
        <w:t>,</w:t>
      </w:r>
      <w:r w:rsidRPr="00482D76">
        <w:rPr>
          <w:rFonts w:cstheme="minorHAnsi"/>
          <w:sz w:val="24"/>
          <w:szCs w:val="24"/>
        </w:rPr>
        <w:t xml:space="preserve"> or after you receive your ministerial license you </w:t>
      </w:r>
      <w:r w:rsidR="003F4F80" w:rsidRPr="00482D76">
        <w:rPr>
          <w:rFonts w:cstheme="minorHAnsi"/>
          <w:sz w:val="24"/>
          <w:szCs w:val="24"/>
        </w:rPr>
        <w:t>may</w:t>
      </w:r>
      <w:r w:rsidRPr="00482D76">
        <w:rPr>
          <w:rFonts w:cstheme="minorHAnsi"/>
          <w:sz w:val="24"/>
          <w:szCs w:val="24"/>
        </w:rPr>
        <w:t xml:space="preserve"> go online and set up an automatic payment that will be drafted every quarter.  You may also elect to pay the whole year at one time.</w:t>
      </w:r>
    </w:p>
    <w:p w14:paraId="3A58BFA1" w14:textId="77777777" w:rsidR="004D3C89" w:rsidRPr="003F4F80" w:rsidRDefault="004B5A45" w:rsidP="004B5A45">
      <w:pPr>
        <w:pStyle w:val="ListParagraph"/>
        <w:numPr>
          <w:ilvl w:val="0"/>
          <w:numId w:val="1"/>
        </w:numPr>
        <w:rPr>
          <w:sz w:val="24"/>
          <w:szCs w:val="24"/>
        </w:rPr>
      </w:pPr>
      <w:r w:rsidRPr="003F4F80">
        <w:rPr>
          <w:sz w:val="24"/>
          <w:szCs w:val="24"/>
        </w:rPr>
        <w:t xml:space="preserve">Your </w:t>
      </w:r>
      <w:r w:rsidR="00464008">
        <w:rPr>
          <w:sz w:val="24"/>
          <w:szCs w:val="24"/>
        </w:rPr>
        <w:t xml:space="preserve">Missouri </w:t>
      </w:r>
      <w:r w:rsidRPr="003F4F80">
        <w:rPr>
          <w:sz w:val="24"/>
          <w:szCs w:val="24"/>
        </w:rPr>
        <w:t xml:space="preserve">District </w:t>
      </w:r>
      <w:r w:rsidR="00F77A10">
        <w:rPr>
          <w:sz w:val="24"/>
          <w:szCs w:val="24"/>
        </w:rPr>
        <w:t>tithes/</w:t>
      </w:r>
      <w:r w:rsidRPr="003F4F80">
        <w:rPr>
          <w:sz w:val="24"/>
          <w:szCs w:val="24"/>
        </w:rPr>
        <w:t>dues are totally separate from your national dues.   The Missouri District Policy is as follows:</w:t>
      </w:r>
    </w:p>
    <w:p w14:paraId="79BC61AC" w14:textId="77777777" w:rsidR="00E82017" w:rsidRPr="003F4F80" w:rsidRDefault="00E82017" w:rsidP="00714388">
      <w:pPr>
        <w:pStyle w:val="ListParagraph"/>
        <w:numPr>
          <w:ilvl w:val="0"/>
          <w:numId w:val="3"/>
        </w:numPr>
        <w:spacing w:after="0" w:line="240" w:lineRule="auto"/>
        <w:rPr>
          <w:sz w:val="24"/>
          <w:szCs w:val="24"/>
        </w:rPr>
      </w:pPr>
      <w:r w:rsidRPr="00E82017">
        <w:rPr>
          <w:sz w:val="24"/>
          <w:szCs w:val="24"/>
        </w:rPr>
        <w:t xml:space="preserve">Each minister in the district shall pay 100% of his or her ministerial tithe (i.e. remuneration received for preaching, teaching, and other ministerial income from ministry organizations) to the Missouri District. It shall be sent to the District Secretary/Treasurer by the end of every quarter for that quarter. In the absence of ministerial income, each licensed minister shall send the following minimum amounts according to the level of license. </w:t>
      </w:r>
      <w:r w:rsidRPr="00F77A10">
        <w:rPr>
          <w:b/>
          <w:sz w:val="24"/>
          <w:szCs w:val="24"/>
        </w:rPr>
        <w:t>Note:</w:t>
      </w:r>
      <w:r>
        <w:rPr>
          <w:sz w:val="24"/>
          <w:szCs w:val="24"/>
        </w:rPr>
        <w:t xml:space="preserve">  </w:t>
      </w:r>
      <w:r w:rsidRPr="00F77A10">
        <w:rPr>
          <w:i/>
          <w:sz w:val="24"/>
          <w:szCs w:val="24"/>
        </w:rPr>
        <w:t xml:space="preserve">You will </w:t>
      </w:r>
      <w:r w:rsidRPr="00714388">
        <w:rPr>
          <w:i/>
          <w:sz w:val="24"/>
          <w:szCs w:val="24"/>
          <w:u w:val="single"/>
        </w:rPr>
        <w:t>not</w:t>
      </w:r>
      <w:r w:rsidRPr="00F77A10">
        <w:rPr>
          <w:i/>
          <w:sz w:val="24"/>
          <w:szCs w:val="24"/>
        </w:rPr>
        <w:t xml:space="preserve"> be invoiced from the </w:t>
      </w:r>
      <w:proofErr w:type="gramStart"/>
      <w:r w:rsidRPr="00F77A10">
        <w:rPr>
          <w:i/>
          <w:sz w:val="24"/>
          <w:szCs w:val="24"/>
        </w:rPr>
        <w:t>District</w:t>
      </w:r>
      <w:proofErr w:type="gramEnd"/>
      <w:r w:rsidRPr="00F77A10">
        <w:rPr>
          <w:i/>
          <w:sz w:val="24"/>
          <w:szCs w:val="24"/>
        </w:rPr>
        <w:t xml:space="preserve"> office.</w:t>
      </w:r>
    </w:p>
    <w:p w14:paraId="4AFBE9B0" w14:textId="77777777" w:rsidR="00E82017" w:rsidRPr="00E82017" w:rsidRDefault="00E82017" w:rsidP="00E82017">
      <w:pPr>
        <w:pStyle w:val="ListParagraph"/>
        <w:numPr>
          <w:ilvl w:val="2"/>
          <w:numId w:val="3"/>
        </w:numPr>
        <w:spacing w:after="200" w:line="240" w:lineRule="auto"/>
        <w:rPr>
          <w:sz w:val="24"/>
          <w:szCs w:val="24"/>
        </w:rPr>
      </w:pPr>
      <w:r w:rsidRPr="00E82017">
        <w:rPr>
          <w:sz w:val="24"/>
          <w:szCs w:val="24"/>
        </w:rPr>
        <w:t>Local:</w:t>
      </w:r>
      <w:r w:rsidRPr="00E82017">
        <w:rPr>
          <w:sz w:val="24"/>
          <w:szCs w:val="24"/>
        </w:rPr>
        <w:tab/>
      </w:r>
      <w:r w:rsidRPr="00E82017">
        <w:rPr>
          <w:sz w:val="24"/>
          <w:szCs w:val="24"/>
        </w:rPr>
        <w:tab/>
        <w:t>$10 per month</w:t>
      </w:r>
    </w:p>
    <w:p w14:paraId="3D40D57C" w14:textId="77777777" w:rsidR="00E82017" w:rsidRPr="00E82017" w:rsidRDefault="00E82017" w:rsidP="00E82017">
      <w:pPr>
        <w:pStyle w:val="ListParagraph"/>
        <w:numPr>
          <w:ilvl w:val="2"/>
          <w:numId w:val="3"/>
        </w:numPr>
        <w:spacing w:after="200" w:line="240" w:lineRule="auto"/>
        <w:rPr>
          <w:sz w:val="24"/>
          <w:szCs w:val="24"/>
        </w:rPr>
      </w:pPr>
      <w:r w:rsidRPr="00E82017">
        <w:rPr>
          <w:sz w:val="24"/>
          <w:szCs w:val="24"/>
        </w:rPr>
        <w:t>General:</w:t>
      </w:r>
      <w:r w:rsidRPr="00E82017">
        <w:rPr>
          <w:sz w:val="24"/>
          <w:szCs w:val="24"/>
        </w:rPr>
        <w:tab/>
      </w:r>
      <w:r w:rsidRPr="00E82017">
        <w:rPr>
          <w:sz w:val="24"/>
          <w:szCs w:val="24"/>
        </w:rPr>
        <w:tab/>
        <w:t>$20 per month</w:t>
      </w:r>
    </w:p>
    <w:p w14:paraId="7B4AD9FF" w14:textId="77777777" w:rsidR="00E82017" w:rsidRDefault="00E82017" w:rsidP="00E82017">
      <w:pPr>
        <w:pStyle w:val="ListParagraph"/>
        <w:numPr>
          <w:ilvl w:val="2"/>
          <w:numId w:val="3"/>
        </w:numPr>
        <w:spacing w:after="200" w:line="240" w:lineRule="auto"/>
        <w:rPr>
          <w:sz w:val="24"/>
          <w:szCs w:val="24"/>
        </w:rPr>
      </w:pPr>
      <w:r w:rsidRPr="00E82017">
        <w:rPr>
          <w:sz w:val="24"/>
          <w:szCs w:val="24"/>
        </w:rPr>
        <w:t>Ordination:</w:t>
      </w:r>
      <w:r w:rsidRPr="00E82017">
        <w:rPr>
          <w:sz w:val="24"/>
          <w:szCs w:val="24"/>
        </w:rPr>
        <w:tab/>
        <w:t xml:space="preserve">$30 per month </w:t>
      </w:r>
    </w:p>
    <w:p w14:paraId="019A17AF" w14:textId="77777777" w:rsidR="00E82017" w:rsidRPr="00E82017" w:rsidRDefault="00E82017" w:rsidP="00E82017">
      <w:pPr>
        <w:pStyle w:val="ListParagraph"/>
        <w:numPr>
          <w:ilvl w:val="0"/>
          <w:numId w:val="3"/>
        </w:numPr>
        <w:spacing w:after="0"/>
        <w:rPr>
          <w:sz w:val="24"/>
          <w:szCs w:val="24"/>
        </w:rPr>
      </w:pPr>
      <w:r w:rsidRPr="00E82017">
        <w:rPr>
          <w:sz w:val="24"/>
          <w:szCs w:val="24"/>
        </w:rPr>
        <w:t>Any minister of the Missouri District who is 65 years of age or older, shall be exempt from their minimum monthly ministerial dues. However, all tithes on ministerial income shall continue to be paid into the district office.</w:t>
      </w:r>
    </w:p>
    <w:p w14:paraId="0F8B346C" w14:textId="54F151D3" w:rsidR="00E82017" w:rsidRPr="0031222B" w:rsidRDefault="00E82017" w:rsidP="00E82017">
      <w:pPr>
        <w:pStyle w:val="ListParagraph"/>
        <w:numPr>
          <w:ilvl w:val="0"/>
          <w:numId w:val="3"/>
        </w:numPr>
        <w:spacing w:after="0"/>
        <w:rPr>
          <w:sz w:val="24"/>
          <w:szCs w:val="24"/>
        </w:rPr>
      </w:pPr>
      <w:r w:rsidRPr="00E82017">
        <w:rPr>
          <w:sz w:val="24"/>
          <w:szCs w:val="24"/>
        </w:rPr>
        <w:t xml:space="preserve">Each Honorary/Exempt member of the Missouri District shall be exempt from the minimum </w:t>
      </w:r>
      <w:r w:rsidRPr="0031222B">
        <w:rPr>
          <w:sz w:val="24"/>
          <w:szCs w:val="24"/>
        </w:rPr>
        <w:t>financial requirement.</w:t>
      </w:r>
    </w:p>
    <w:p w14:paraId="5CDB8A43" w14:textId="77777777" w:rsidR="0031222B" w:rsidRPr="00D454C9" w:rsidRDefault="0031222B" w:rsidP="0031222B">
      <w:pPr>
        <w:pStyle w:val="ListParagraph"/>
        <w:numPr>
          <w:ilvl w:val="0"/>
          <w:numId w:val="3"/>
        </w:numPr>
        <w:spacing w:after="0"/>
        <w:rPr>
          <w:sz w:val="24"/>
          <w:szCs w:val="24"/>
        </w:rPr>
      </w:pPr>
      <w:r w:rsidRPr="00D454C9">
        <w:rPr>
          <w:sz w:val="24"/>
          <w:szCs w:val="24"/>
        </w:rPr>
        <w:t>All accounts must be current by the end of each calendar year. All mail postmarked by December 31 will be recorded within that calendar year.</w:t>
      </w:r>
    </w:p>
    <w:p w14:paraId="6D5425B9" w14:textId="77777777" w:rsidR="0031222B" w:rsidRPr="00714388" w:rsidRDefault="0031222B" w:rsidP="00714388">
      <w:pPr>
        <w:pStyle w:val="ListParagraph"/>
        <w:numPr>
          <w:ilvl w:val="0"/>
          <w:numId w:val="5"/>
        </w:numPr>
        <w:spacing w:after="0"/>
        <w:ind w:left="1440" w:right="450"/>
        <w:rPr>
          <w:sz w:val="24"/>
          <w:szCs w:val="24"/>
        </w:rPr>
      </w:pPr>
      <w:r w:rsidRPr="00714388">
        <w:rPr>
          <w:sz w:val="24"/>
          <w:szCs w:val="24"/>
        </w:rPr>
        <w:t xml:space="preserve">A “grace window” will be afforded until February 15 to fulfill one’s account requirement from the previous year. </w:t>
      </w:r>
    </w:p>
    <w:p w14:paraId="50380DF0" w14:textId="77777777" w:rsidR="0031222B" w:rsidRPr="00714388" w:rsidRDefault="0031222B" w:rsidP="00714388">
      <w:pPr>
        <w:pStyle w:val="ListParagraph"/>
        <w:numPr>
          <w:ilvl w:val="0"/>
          <w:numId w:val="5"/>
        </w:numPr>
        <w:spacing w:after="0"/>
        <w:ind w:left="1440" w:right="450"/>
        <w:rPr>
          <w:sz w:val="24"/>
          <w:szCs w:val="24"/>
        </w:rPr>
      </w:pPr>
      <w:r w:rsidRPr="00714388">
        <w:rPr>
          <w:sz w:val="24"/>
          <w:szCs w:val="24"/>
        </w:rPr>
        <w:t>Ministers with a remaining delinquent account on February 15 for the previous calendar year will be notified of their delinquency by official notice and assessed a processing fee. If a minister does not pay their outstanding dues by March 15, the District Board will recommend to the UPCI Credentials Committee that the minister’s credentials be terminated. A minister may request a meeting with the District Board before the March 15 deadline to discuss this matter if he or she desires.</w:t>
      </w:r>
    </w:p>
    <w:p w14:paraId="28CA07A0" w14:textId="77777777" w:rsidR="004B5A45" w:rsidRPr="003F4F80" w:rsidRDefault="004B5A45" w:rsidP="004B5A45">
      <w:pPr>
        <w:pStyle w:val="ListParagraph"/>
        <w:numPr>
          <w:ilvl w:val="0"/>
          <w:numId w:val="3"/>
        </w:numPr>
        <w:spacing w:after="200" w:line="240" w:lineRule="auto"/>
        <w:rPr>
          <w:sz w:val="24"/>
          <w:szCs w:val="24"/>
        </w:rPr>
      </w:pPr>
      <w:r w:rsidRPr="003F4F80">
        <w:rPr>
          <w:sz w:val="24"/>
          <w:szCs w:val="24"/>
        </w:rPr>
        <w:t>Ministerial tithes</w:t>
      </w:r>
      <w:r w:rsidR="006931FF">
        <w:rPr>
          <w:sz w:val="24"/>
          <w:szCs w:val="24"/>
        </w:rPr>
        <w:t>/dues</w:t>
      </w:r>
      <w:r w:rsidRPr="003F4F80">
        <w:rPr>
          <w:sz w:val="24"/>
          <w:szCs w:val="24"/>
        </w:rPr>
        <w:t xml:space="preserve"> may be mailed to the following address:</w:t>
      </w:r>
    </w:p>
    <w:p w14:paraId="6993444A" w14:textId="77777777" w:rsidR="004B5A45" w:rsidRPr="003F4F80" w:rsidRDefault="004B5A45" w:rsidP="004B5A45">
      <w:pPr>
        <w:pStyle w:val="ListParagraph"/>
        <w:spacing w:after="0" w:line="240" w:lineRule="auto"/>
        <w:ind w:left="2520"/>
        <w:rPr>
          <w:sz w:val="24"/>
          <w:szCs w:val="24"/>
        </w:rPr>
      </w:pPr>
      <w:r w:rsidRPr="003F4F80">
        <w:rPr>
          <w:sz w:val="24"/>
          <w:szCs w:val="24"/>
        </w:rPr>
        <w:t>Missouri District UPC</w:t>
      </w:r>
    </w:p>
    <w:p w14:paraId="51AFA971" w14:textId="55F9504D" w:rsidR="004B5A45" w:rsidRPr="003F4F80" w:rsidRDefault="004B5A45" w:rsidP="004B5A45">
      <w:pPr>
        <w:pStyle w:val="ListParagraph"/>
        <w:spacing w:after="0" w:line="240" w:lineRule="auto"/>
        <w:ind w:left="2520"/>
        <w:rPr>
          <w:sz w:val="24"/>
          <w:szCs w:val="24"/>
        </w:rPr>
      </w:pPr>
      <w:r w:rsidRPr="003F4F80">
        <w:rPr>
          <w:sz w:val="24"/>
          <w:szCs w:val="24"/>
        </w:rPr>
        <w:t xml:space="preserve">PO Box </w:t>
      </w:r>
      <w:r w:rsidR="0031222B">
        <w:rPr>
          <w:sz w:val="24"/>
          <w:szCs w:val="24"/>
        </w:rPr>
        <w:t>387</w:t>
      </w:r>
    </w:p>
    <w:p w14:paraId="5B0436BB" w14:textId="6724BEE6" w:rsidR="004B5A45" w:rsidRPr="003F4F80" w:rsidRDefault="0031222B" w:rsidP="004B5A45">
      <w:pPr>
        <w:pStyle w:val="ListParagraph"/>
        <w:spacing w:after="0" w:line="240" w:lineRule="auto"/>
        <w:ind w:left="2520"/>
        <w:rPr>
          <w:sz w:val="24"/>
          <w:szCs w:val="24"/>
        </w:rPr>
      </w:pPr>
      <w:r>
        <w:rPr>
          <w:sz w:val="24"/>
          <w:szCs w:val="24"/>
        </w:rPr>
        <w:t>Wentzville, MO 63385</w:t>
      </w:r>
    </w:p>
    <w:p w14:paraId="2AAB0209" w14:textId="6D35DCE0" w:rsidR="0031222B" w:rsidRDefault="004B5A45" w:rsidP="0031222B">
      <w:pPr>
        <w:pStyle w:val="ListParagraph"/>
        <w:numPr>
          <w:ilvl w:val="0"/>
          <w:numId w:val="3"/>
        </w:numPr>
        <w:rPr>
          <w:sz w:val="24"/>
          <w:szCs w:val="24"/>
        </w:rPr>
      </w:pPr>
      <w:r w:rsidRPr="003F4F80">
        <w:rPr>
          <w:sz w:val="24"/>
          <w:szCs w:val="24"/>
        </w:rPr>
        <w:t xml:space="preserve">Ministerial tithes may also be paid online at </w:t>
      </w:r>
      <w:r w:rsidR="0031222B" w:rsidRPr="00714388">
        <w:rPr>
          <w:sz w:val="24"/>
          <w:szCs w:val="24"/>
          <w:u w:val="single"/>
        </w:rPr>
        <w:t>www.modistrict.com</w:t>
      </w:r>
      <w:r w:rsidR="00714388" w:rsidRPr="00714388">
        <w:rPr>
          <w:sz w:val="24"/>
          <w:szCs w:val="24"/>
        </w:rPr>
        <w:t>.</w:t>
      </w:r>
    </w:p>
    <w:p w14:paraId="2D0762BB" w14:textId="187A48CC" w:rsidR="0031222B" w:rsidRDefault="0031222B" w:rsidP="0031222B">
      <w:pPr>
        <w:pStyle w:val="ListParagraph"/>
        <w:ind w:left="1080"/>
        <w:rPr>
          <w:sz w:val="24"/>
          <w:szCs w:val="24"/>
        </w:rPr>
      </w:pPr>
    </w:p>
    <w:p w14:paraId="2647747B" w14:textId="49D66F5F" w:rsidR="0031222B" w:rsidRPr="0031222B" w:rsidRDefault="0031222B" w:rsidP="0031222B">
      <w:pPr>
        <w:pStyle w:val="ListParagraph"/>
        <w:ind w:left="1080"/>
        <w:jc w:val="right"/>
        <w:rPr>
          <w:sz w:val="20"/>
          <w:szCs w:val="20"/>
        </w:rPr>
      </w:pPr>
      <w:r>
        <w:rPr>
          <w:sz w:val="20"/>
          <w:szCs w:val="20"/>
        </w:rPr>
        <w:t>Revised 07-2022</w:t>
      </w:r>
    </w:p>
    <w:sectPr w:rsidR="0031222B" w:rsidRPr="0031222B" w:rsidSect="00E820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731"/>
    <w:multiLevelType w:val="hybridMultilevel"/>
    <w:tmpl w:val="88B29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913CA"/>
    <w:multiLevelType w:val="hybridMultilevel"/>
    <w:tmpl w:val="A09888A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70C7B6D"/>
    <w:multiLevelType w:val="hybridMultilevel"/>
    <w:tmpl w:val="4ABC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D4909"/>
    <w:multiLevelType w:val="hybridMultilevel"/>
    <w:tmpl w:val="C41023F4"/>
    <w:lvl w:ilvl="0" w:tplc="E5AEF1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F947F6"/>
    <w:multiLevelType w:val="hybridMultilevel"/>
    <w:tmpl w:val="22AA329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49217263">
    <w:abstractNumId w:val="2"/>
  </w:num>
  <w:num w:numId="2" w16cid:durableId="1375083307">
    <w:abstractNumId w:val="3"/>
  </w:num>
  <w:num w:numId="3" w16cid:durableId="1512522891">
    <w:abstractNumId w:val="0"/>
  </w:num>
  <w:num w:numId="4" w16cid:durableId="1718506479">
    <w:abstractNumId w:val="4"/>
  </w:num>
  <w:num w:numId="5" w16cid:durableId="1402220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45"/>
    <w:rsid w:val="00050593"/>
    <w:rsid w:val="000A5D5E"/>
    <w:rsid w:val="000E14EE"/>
    <w:rsid w:val="000E4618"/>
    <w:rsid w:val="001122BF"/>
    <w:rsid w:val="001D3931"/>
    <w:rsid w:val="001F5D38"/>
    <w:rsid w:val="002243B2"/>
    <w:rsid w:val="00231293"/>
    <w:rsid w:val="00232346"/>
    <w:rsid w:val="00250E8F"/>
    <w:rsid w:val="00260529"/>
    <w:rsid w:val="002C61B5"/>
    <w:rsid w:val="002D6C5E"/>
    <w:rsid w:val="0031222B"/>
    <w:rsid w:val="0035573F"/>
    <w:rsid w:val="00380126"/>
    <w:rsid w:val="003D2D2C"/>
    <w:rsid w:val="003D48E8"/>
    <w:rsid w:val="003F4F80"/>
    <w:rsid w:val="003F70F0"/>
    <w:rsid w:val="0041358D"/>
    <w:rsid w:val="00461437"/>
    <w:rsid w:val="00464008"/>
    <w:rsid w:val="00465F28"/>
    <w:rsid w:val="00482D76"/>
    <w:rsid w:val="00484D08"/>
    <w:rsid w:val="004B30E9"/>
    <w:rsid w:val="004B5A45"/>
    <w:rsid w:val="004D3C89"/>
    <w:rsid w:val="005016CA"/>
    <w:rsid w:val="0053320C"/>
    <w:rsid w:val="00561852"/>
    <w:rsid w:val="005975FF"/>
    <w:rsid w:val="00613EAC"/>
    <w:rsid w:val="006820F4"/>
    <w:rsid w:val="006931FF"/>
    <w:rsid w:val="006A7372"/>
    <w:rsid w:val="006B3EE6"/>
    <w:rsid w:val="006D26ED"/>
    <w:rsid w:val="0071304F"/>
    <w:rsid w:val="00714388"/>
    <w:rsid w:val="0075273A"/>
    <w:rsid w:val="007D00E5"/>
    <w:rsid w:val="007F6FEC"/>
    <w:rsid w:val="008923F1"/>
    <w:rsid w:val="00896042"/>
    <w:rsid w:val="0089799C"/>
    <w:rsid w:val="008A515F"/>
    <w:rsid w:val="00953424"/>
    <w:rsid w:val="0099655F"/>
    <w:rsid w:val="009D3A84"/>
    <w:rsid w:val="009D3BBA"/>
    <w:rsid w:val="00A03880"/>
    <w:rsid w:val="00A35DCD"/>
    <w:rsid w:val="00A447FC"/>
    <w:rsid w:val="00A74119"/>
    <w:rsid w:val="00AC64A3"/>
    <w:rsid w:val="00AE4FA4"/>
    <w:rsid w:val="00B31CBD"/>
    <w:rsid w:val="00BC1048"/>
    <w:rsid w:val="00C64E74"/>
    <w:rsid w:val="00CB0DA5"/>
    <w:rsid w:val="00CC4726"/>
    <w:rsid w:val="00CC7593"/>
    <w:rsid w:val="00CF2C3F"/>
    <w:rsid w:val="00D00266"/>
    <w:rsid w:val="00D05BD4"/>
    <w:rsid w:val="00D454C9"/>
    <w:rsid w:val="00D45CA2"/>
    <w:rsid w:val="00DA062E"/>
    <w:rsid w:val="00DD5A50"/>
    <w:rsid w:val="00E5199A"/>
    <w:rsid w:val="00E576D1"/>
    <w:rsid w:val="00E82017"/>
    <w:rsid w:val="00EB2D85"/>
    <w:rsid w:val="00EC5A16"/>
    <w:rsid w:val="00ED1EA8"/>
    <w:rsid w:val="00F40E46"/>
    <w:rsid w:val="00F77A10"/>
    <w:rsid w:val="00FD06E8"/>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38FA"/>
  <w15:chartTrackingRefBased/>
  <w15:docId w15:val="{AF6EA6FF-4BE4-4E70-B78D-E4560651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45"/>
    <w:pPr>
      <w:ind w:left="720"/>
      <w:contextualSpacing/>
    </w:pPr>
  </w:style>
  <w:style w:type="paragraph" w:styleId="BalloonText">
    <w:name w:val="Balloon Text"/>
    <w:basedOn w:val="Normal"/>
    <w:link w:val="BalloonTextChar"/>
    <w:uiPriority w:val="99"/>
    <w:semiHidden/>
    <w:unhideWhenUsed/>
    <w:rsid w:val="00892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F1"/>
    <w:rPr>
      <w:rFonts w:ascii="Segoe UI" w:hAnsi="Segoe UI" w:cs="Segoe UI"/>
      <w:sz w:val="18"/>
      <w:szCs w:val="18"/>
    </w:rPr>
  </w:style>
  <w:style w:type="character" w:customStyle="1" w:styleId="apple-converted-space">
    <w:name w:val="apple-converted-space"/>
    <w:basedOn w:val="DefaultParagraphFont"/>
    <w:rsid w:val="00482D76"/>
  </w:style>
  <w:style w:type="character" w:styleId="Emphasis">
    <w:name w:val="Emphasis"/>
    <w:basedOn w:val="DefaultParagraphFont"/>
    <w:uiPriority w:val="20"/>
    <w:qFormat/>
    <w:rsid w:val="00482D76"/>
    <w:rPr>
      <w:i/>
      <w:iCs/>
    </w:rPr>
  </w:style>
  <w:style w:type="character" w:styleId="Hyperlink">
    <w:name w:val="Hyperlink"/>
    <w:basedOn w:val="DefaultParagraphFont"/>
    <w:uiPriority w:val="99"/>
    <w:unhideWhenUsed/>
    <w:rsid w:val="0031222B"/>
    <w:rPr>
      <w:color w:val="0563C1" w:themeColor="hyperlink"/>
      <w:u w:val="single"/>
    </w:rPr>
  </w:style>
  <w:style w:type="character" w:styleId="UnresolvedMention">
    <w:name w:val="Unresolved Mention"/>
    <w:basedOn w:val="DefaultParagraphFont"/>
    <w:uiPriority w:val="99"/>
    <w:semiHidden/>
    <w:unhideWhenUsed/>
    <w:rsid w:val="00312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Parkey</dc:creator>
  <cp:keywords/>
  <dc:description/>
  <cp:lastModifiedBy>April Matthews</cp:lastModifiedBy>
  <cp:revision>4</cp:revision>
  <cp:lastPrinted>2022-11-28T19:43:00Z</cp:lastPrinted>
  <dcterms:created xsi:type="dcterms:W3CDTF">2017-04-27T14:04:00Z</dcterms:created>
  <dcterms:modified xsi:type="dcterms:W3CDTF">2022-11-28T22:03:00Z</dcterms:modified>
</cp:coreProperties>
</file>